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D" w:rsidRDefault="006952ED" w:rsidP="006952E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435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6952ED" w:rsidRDefault="006952ED" w:rsidP="006952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6952ED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4358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2021 r.</w:t>
      </w: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6952ED" w:rsidRDefault="006952ED" w:rsidP="0069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6952ED" w:rsidRDefault="006952ED" w:rsidP="006952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przepisów art.222 ust.4 oraz art. 257 pkt.1 i 3, ustawy z dnia 27 sierpnia 2009 r. o finansach publicznych </w:t>
      </w:r>
      <w:r>
        <w:rPr>
          <w:rFonts w:ascii="Times New Roman" w:hAnsi="Times New Roman" w:cs="Times New Roman"/>
          <w:sz w:val="24"/>
          <w:szCs w:val="24"/>
        </w:rPr>
        <w:t xml:space="preserve">( Dz. U. z 2019 r, poz.869 ze zm.), </w:t>
      </w:r>
      <w:r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uchwały nr XXII/255/20 Rady Miejskiej w Kamieniu Pomorskim z dnia 28 grudnia 2020 roku w sprawie uchwalenia budżetu Gminy Kamień Pomorski na 2021 roku zarządza się, co następuje:</w:t>
      </w: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2ED" w:rsidRDefault="006952ED" w:rsidP="0069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Zwiększa się dochody budżetu Gminy zgodnie z załącznikiem nr 1.</w:t>
      </w:r>
    </w:p>
    <w:p w:rsidR="006952ED" w:rsidRDefault="006952ED" w:rsidP="00695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Zwiększa się wydatki budżetu Gminy zgodnie z załącznikiem nr 2.</w:t>
      </w:r>
    </w:p>
    <w:p w:rsidR="006952ED" w:rsidRDefault="006952ED" w:rsidP="006952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Dokonuje się zmian w planie wydatków jednostek organizacyjnych zgodnie z załącznikami.</w:t>
      </w:r>
    </w:p>
    <w:p w:rsidR="006952ED" w:rsidRDefault="006952ED" w:rsidP="006952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Zarządzenia powierza się Skarbnikowi Gminy.</w:t>
      </w: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podjęcia.</w:t>
      </w:r>
    </w:p>
    <w:p w:rsidR="006952ED" w:rsidRDefault="006952ED" w:rsidP="006952E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6952ED" w:rsidRDefault="006952ED" w:rsidP="006952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Uzasadnienie:</w:t>
      </w:r>
    </w:p>
    <w:p w:rsidR="006952ED" w:rsidRDefault="006952ED" w:rsidP="006952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2ED" w:rsidRDefault="006952ED" w:rsidP="006952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planie wydatków budżetu gminy na 2021 r. następują w wyniku:</w:t>
      </w:r>
    </w:p>
    <w:p w:rsidR="00576D14" w:rsidRDefault="00576D14" w:rsidP="0057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zwiększenia dotacji celowej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w dziale 855-Rodzina, 85502 – Świadczenia rodzinne, świadczenie z funduszu alimentacyjnego oraz składki na ubezpieczenia emerytalne i rentowe z ubezpieczenia społecznego na realizację jednorazowego świadczenia z tytułu urodzenia się żywego dziecka, u którego zdiagnozowano ciężkie i nieodwracalne upośledzenie(…)-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kwota 4.123,71 zł.</w:t>
      </w:r>
    </w:p>
    <w:p w:rsidR="00576D14" w:rsidRDefault="00576D14" w:rsidP="0057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(Decyzja Wojewody Zachodniopomorskiego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42/2021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roku, pismo  FB-1.3111.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 z dnia 23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roku);</w:t>
      </w:r>
    </w:p>
    <w:p w:rsidR="006952ED" w:rsidRDefault="006952ED" w:rsidP="00695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-przeniesień w planie wydatków między rozdziałami i paragrafami.</w:t>
      </w:r>
    </w:p>
    <w:p w:rsidR="006952ED" w:rsidRDefault="006952ED" w:rsidP="006952E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952ED" w:rsidRDefault="006952ED" w:rsidP="006952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60233" w:rsidRDefault="00C60233"/>
    <w:sectPr w:rsidR="00C6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C9"/>
    <w:rsid w:val="00435822"/>
    <w:rsid w:val="00466EC9"/>
    <w:rsid w:val="00576D14"/>
    <w:rsid w:val="006952ED"/>
    <w:rsid w:val="00C6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539E2-CAF7-443A-A294-DF892BD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2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 komp</dc:creator>
  <cp:keywords/>
  <dc:description/>
  <cp:lastModifiedBy>Agnieszka Sakowicz komp</cp:lastModifiedBy>
  <cp:revision>3</cp:revision>
  <dcterms:created xsi:type="dcterms:W3CDTF">2021-02-22T12:57:00Z</dcterms:created>
  <dcterms:modified xsi:type="dcterms:W3CDTF">2021-03-03T12:01:00Z</dcterms:modified>
</cp:coreProperties>
</file>