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E3" w:rsidRPr="0093095C" w:rsidRDefault="006B53E3" w:rsidP="006B53E3">
      <w:pPr>
        <w:spacing w:after="160" w:line="259" w:lineRule="auto"/>
        <w:contextualSpacing/>
        <w:jc w:val="right"/>
        <w:rPr>
          <w:rFonts w:ascii="Arial Narrow" w:eastAsiaTheme="minorHAnsi" w:hAnsi="Arial Narrow"/>
          <w:w w:val="100"/>
          <w:sz w:val="20"/>
          <w:u w:val="single"/>
          <w:lang w:eastAsia="en-US"/>
        </w:rPr>
      </w:pPr>
      <w:r w:rsidRPr="00277026">
        <w:rPr>
          <w:rFonts w:ascii="Arial Narrow" w:eastAsiaTheme="minorHAnsi" w:hAnsi="Arial Narrow"/>
          <w:w w:val="100"/>
          <w:sz w:val="20"/>
          <w:u w:val="single"/>
          <w:lang w:eastAsia="en-US"/>
        </w:rPr>
        <w:t xml:space="preserve">Załącznik nr 1 do </w:t>
      </w:r>
      <w:r>
        <w:rPr>
          <w:rFonts w:ascii="Arial Narrow" w:eastAsiaTheme="minorHAnsi" w:hAnsi="Arial Narrow"/>
          <w:w w:val="100"/>
          <w:sz w:val="20"/>
          <w:u w:val="single"/>
          <w:lang w:eastAsia="en-US"/>
        </w:rPr>
        <w:t>Umowy</w:t>
      </w:r>
      <w:r w:rsidRPr="00277026">
        <w:rPr>
          <w:rFonts w:ascii="Arial Narrow" w:eastAsiaTheme="minorHAnsi" w:hAnsi="Arial Narrow"/>
          <w:w w:val="100"/>
          <w:sz w:val="20"/>
          <w:u w:val="single"/>
          <w:lang w:eastAsia="en-US"/>
        </w:rPr>
        <w:t xml:space="preserve"> nr </w:t>
      </w:r>
      <w:r>
        <w:rPr>
          <w:rFonts w:ascii="Arial Narrow" w:eastAsiaTheme="minorHAnsi" w:hAnsi="Arial Narrow"/>
          <w:w w:val="100"/>
          <w:sz w:val="20"/>
          <w:u w:val="single"/>
          <w:lang w:eastAsia="en-US"/>
        </w:rPr>
        <w:t>……….</w:t>
      </w:r>
      <w:r w:rsidRPr="00277026">
        <w:rPr>
          <w:rFonts w:ascii="Arial Narrow" w:eastAsiaTheme="minorHAnsi" w:hAnsi="Arial Narrow"/>
          <w:w w:val="100"/>
          <w:sz w:val="20"/>
          <w:u w:val="single"/>
          <w:lang w:eastAsia="en-US"/>
        </w:rPr>
        <w:t>/ OZNAKOWANIE ULIC</w:t>
      </w:r>
    </w:p>
    <w:p w:rsidR="006B53E3" w:rsidRPr="00277026" w:rsidRDefault="006B53E3" w:rsidP="006B53E3">
      <w:pPr>
        <w:spacing w:after="160" w:line="259" w:lineRule="auto"/>
        <w:contextualSpacing/>
        <w:jc w:val="both"/>
        <w:rPr>
          <w:rFonts w:ascii="Arial Narrow" w:eastAsiaTheme="minorHAnsi" w:hAnsi="Arial Narrow"/>
          <w:b/>
          <w:w w:val="100"/>
          <w:sz w:val="20"/>
          <w:lang w:eastAsia="en-US"/>
        </w:rPr>
      </w:pPr>
    </w:p>
    <w:p w:rsidR="006B53E3" w:rsidRPr="0093095C" w:rsidRDefault="006B53E3" w:rsidP="0036632B">
      <w:pPr>
        <w:numPr>
          <w:ilvl w:val="0"/>
          <w:numId w:val="1"/>
        </w:numPr>
        <w:spacing w:line="259" w:lineRule="auto"/>
        <w:ind w:left="425" w:hanging="357"/>
        <w:jc w:val="both"/>
        <w:rPr>
          <w:rFonts w:ascii="Arial Narrow" w:eastAsiaTheme="minorHAnsi" w:hAnsi="Arial Narrow"/>
          <w:b/>
          <w:w w:val="100"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w w:val="100"/>
          <w:sz w:val="22"/>
          <w:szCs w:val="22"/>
          <w:lang w:eastAsia="en-US"/>
        </w:rPr>
        <w:t>RODZAJE OZNAKOWANIA PIONOWEGO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616"/>
        <w:gridCol w:w="1067"/>
        <w:gridCol w:w="997"/>
        <w:gridCol w:w="1058"/>
        <w:gridCol w:w="1257"/>
        <w:gridCol w:w="1257"/>
      </w:tblGrid>
      <w:tr w:rsidR="006B53E3" w:rsidRPr="0036632B" w:rsidTr="0036632B">
        <w:trPr>
          <w:trHeight w:val="680"/>
        </w:trPr>
        <w:tc>
          <w:tcPr>
            <w:tcW w:w="545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16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Kategoria znaku </w:t>
            </w:r>
          </w:p>
        </w:tc>
        <w:tc>
          <w:tcPr>
            <w:tcW w:w="106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Wymiar mm</w:t>
            </w:r>
          </w:p>
        </w:tc>
        <w:tc>
          <w:tcPr>
            <w:tcW w:w="99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1058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Cena netto</w:t>
            </w: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VAT …….%</w:t>
            </w: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Cena brutto</w:t>
            </w:r>
          </w:p>
        </w:tc>
      </w:tr>
      <w:tr w:rsidR="006B53E3" w:rsidRPr="0036632B" w:rsidTr="0036632B">
        <w:trPr>
          <w:trHeight w:val="680"/>
        </w:trPr>
        <w:tc>
          <w:tcPr>
            <w:tcW w:w="545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16" w:type="dxa"/>
            <w:vAlign w:val="center"/>
          </w:tcPr>
          <w:p w:rsidR="006B53E3" w:rsidRPr="0036632B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Znaki ostrzegawcze „A”</w:t>
            </w:r>
          </w:p>
        </w:tc>
        <w:tc>
          <w:tcPr>
            <w:tcW w:w="106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750</w:t>
            </w:r>
          </w:p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6632B" w:rsidTr="0036632B">
        <w:trPr>
          <w:trHeight w:val="680"/>
        </w:trPr>
        <w:tc>
          <w:tcPr>
            <w:tcW w:w="545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16" w:type="dxa"/>
            <w:vAlign w:val="center"/>
          </w:tcPr>
          <w:p w:rsidR="006B53E3" w:rsidRPr="0036632B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Znaki zakazu „B”</w:t>
            </w:r>
          </w:p>
        </w:tc>
        <w:tc>
          <w:tcPr>
            <w:tcW w:w="106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400</w:t>
            </w:r>
          </w:p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</w:t>
            </w:r>
          </w:p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6632B" w:rsidTr="0036632B">
        <w:trPr>
          <w:trHeight w:val="680"/>
        </w:trPr>
        <w:tc>
          <w:tcPr>
            <w:tcW w:w="545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616" w:type="dxa"/>
            <w:vAlign w:val="center"/>
          </w:tcPr>
          <w:p w:rsidR="006B53E3" w:rsidRPr="0036632B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Znak STOP „B – 20”</w:t>
            </w:r>
          </w:p>
        </w:tc>
        <w:tc>
          <w:tcPr>
            <w:tcW w:w="106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800</w:t>
            </w:r>
          </w:p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6632B" w:rsidTr="0036632B">
        <w:trPr>
          <w:trHeight w:val="680"/>
        </w:trPr>
        <w:tc>
          <w:tcPr>
            <w:tcW w:w="545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616" w:type="dxa"/>
            <w:vAlign w:val="center"/>
          </w:tcPr>
          <w:p w:rsidR="006B53E3" w:rsidRPr="0036632B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Znaki nakazu „C”</w:t>
            </w:r>
          </w:p>
        </w:tc>
        <w:tc>
          <w:tcPr>
            <w:tcW w:w="106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400</w:t>
            </w:r>
          </w:p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</w:t>
            </w:r>
          </w:p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9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6632B" w:rsidTr="0036632B">
        <w:trPr>
          <w:trHeight w:val="680"/>
        </w:trPr>
        <w:tc>
          <w:tcPr>
            <w:tcW w:w="545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616" w:type="dxa"/>
            <w:vAlign w:val="center"/>
          </w:tcPr>
          <w:p w:rsidR="006B53E3" w:rsidRPr="0036632B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Znaki informacyjne „D”</w:t>
            </w:r>
          </w:p>
        </w:tc>
        <w:tc>
          <w:tcPr>
            <w:tcW w:w="106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400x400</w:t>
            </w:r>
          </w:p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600x600</w:t>
            </w:r>
          </w:p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600x750</w:t>
            </w:r>
          </w:p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600x900</w:t>
            </w:r>
          </w:p>
        </w:tc>
        <w:tc>
          <w:tcPr>
            <w:tcW w:w="99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6632B" w:rsidTr="0036632B">
        <w:trPr>
          <w:trHeight w:val="680"/>
        </w:trPr>
        <w:tc>
          <w:tcPr>
            <w:tcW w:w="545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616" w:type="dxa"/>
            <w:vAlign w:val="center"/>
          </w:tcPr>
          <w:p w:rsidR="006B53E3" w:rsidRPr="0036632B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Znaki kat. „E, F, G, H, U”</w:t>
            </w:r>
          </w:p>
        </w:tc>
        <w:tc>
          <w:tcPr>
            <w:tcW w:w="106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</w:t>
            </w: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058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6632B" w:rsidTr="0036632B">
        <w:trPr>
          <w:trHeight w:val="680"/>
        </w:trPr>
        <w:tc>
          <w:tcPr>
            <w:tcW w:w="545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616" w:type="dxa"/>
            <w:vAlign w:val="center"/>
          </w:tcPr>
          <w:p w:rsidR="006B53E3" w:rsidRPr="0036632B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Tabliczka z nazwą ulicy obustronnie zadrukowana </w:t>
            </w:r>
          </w:p>
        </w:tc>
        <w:tc>
          <w:tcPr>
            <w:tcW w:w="106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6632B" w:rsidTr="0036632B">
        <w:trPr>
          <w:trHeight w:val="680"/>
        </w:trPr>
        <w:tc>
          <w:tcPr>
            <w:tcW w:w="545" w:type="dxa"/>
            <w:vAlign w:val="center"/>
          </w:tcPr>
          <w:p w:rsidR="006B53E3" w:rsidRPr="0036632B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8</w:t>
            </w:r>
            <w:r w:rsidR="006B53E3"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6" w:type="dxa"/>
            <w:vAlign w:val="center"/>
          </w:tcPr>
          <w:p w:rsidR="006B53E3" w:rsidRPr="0036632B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Tabliczki do znaków wg instrukcji i tabliczki opisowe</w:t>
            </w:r>
          </w:p>
        </w:tc>
        <w:tc>
          <w:tcPr>
            <w:tcW w:w="106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</w:t>
            </w: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058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6632B" w:rsidTr="0036632B">
        <w:trPr>
          <w:trHeight w:val="680"/>
        </w:trPr>
        <w:tc>
          <w:tcPr>
            <w:tcW w:w="545" w:type="dxa"/>
            <w:vAlign w:val="center"/>
          </w:tcPr>
          <w:p w:rsidR="006B53E3" w:rsidRPr="0036632B" w:rsidRDefault="00373DE8" w:rsidP="00373DE8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616" w:type="dxa"/>
            <w:vAlign w:val="center"/>
          </w:tcPr>
          <w:p w:rsidR="006B53E3" w:rsidRPr="0036632B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Słupek nośny znaku </w:t>
            </w:r>
            <w:proofErr w:type="spellStart"/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drog</w:t>
            </w:r>
            <w:proofErr w:type="spellEnd"/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  <w:p w:rsidR="006B53E3" w:rsidRPr="0036632B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stalowy </w:t>
            </w: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sym w:font="Symbol" w:char="F046"/>
            </w: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 60 mm</w:t>
            </w:r>
          </w:p>
        </w:tc>
        <w:tc>
          <w:tcPr>
            <w:tcW w:w="106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proofErr w:type="spellStart"/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mb</w:t>
            </w:r>
            <w:proofErr w:type="spellEnd"/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58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6632B" w:rsidTr="0036632B">
        <w:trPr>
          <w:trHeight w:val="680"/>
        </w:trPr>
        <w:tc>
          <w:tcPr>
            <w:tcW w:w="545" w:type="dxa"/>
            <w:vAlign w:val="center"/>
          </w:tcPr>
          <w:p w:rsidR="006B53E3" w:rsidRPr="0036632B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10</w:t>
            </w:r>
            <w:r w:rsidR="006B53E3"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6" w:type="dxa"/>
            <w:vAlign w:val="center"/>
          </w:tcPr>
          <w:p w:rsidR="006B53E3" w:rsidRPr="0036632B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Słupek nośny znaku </w:t>
            </w:r>
            <w:proofErr w:type="spellStart"/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drog</w:t>
            </w:r>
            <w:proofErr w:type="spellEnd"/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  <w:p w:rsidR="006B53E3" w:rsidRPr="0036632B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ocynkowany </w:t>
            </w: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sym w:font="Symbol" w:char="F046"/>
            </w: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 60 mm</w:t>
            </w:r>
          </w:p>
        </w:tc>
        <w:tc>
          <w:tcPr>
            <w:tcW w:w="106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proofErr w:type="spellStart"/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mb</w:t>
            </w:r>
            <w:proofErr w:type="spellEnd"/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058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6632B" w:rsidTr="0036632B">
        <w:trPr>
          <w:trHeight w:val="680"/>
        </w:trPr>
        <w:tc>
          <w:tcPr>
            <w:tcW w:w="545" w:type="dxa"/>
            <w:vAlign w:val="center"/>
          </w:tcPr>
          <w:p w:rsidR="006B53E3" w:rsidRPr="0036632B" w:rsidRDefault="006B53E3" w:rsidP="00373DE8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</w:t>
            </w:r>
            <w:r w:rsidR="00373DE8"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</w:t>
            </w: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6" w:type="dxa"/>
            <w:vAlign w:val="center"/>
          </w:tcPr>
          <w:p w:rsidR="006B53E3" w:rsidRPr="0036632B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Obejma uniwersalna do montażu znaku drogowego</w:t>
            </w:r>
          </w:p>
        </w:tc>
        <w:tc>
          <w:tcPr>
            <w:tcW w:w="106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6632B" w:rsidTr="0036632B">
        <w:trPr>
          <w:trHeight w:val="680"/>
        </w:trPr>
        <w:tc>
          <w:tcPr>
            <w:tcW w:w="545" w:type="dxa"/>
            <w:vAlign w:val="center"/>
          </w:tcPr>
          <w:p w:rsidR="006B53E3" w:rsidRPr="0036632B" w:rsidRDefault="006B53E3" w:rsidP="00373DE8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</w:t>
            </w:r>
            <w:r w:rsidR="00373DE8"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2</w:t>
            </w: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6" w:type="dxa"/>
            <w:vAlign w:val="center"/>
          </w:tcPr>
          <w:p w:rsidR="006B53E3" w:rsidRPr="0036632B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Wypożyczenie słupków prowadzących (pachołków), zapór drogowych lub taśmy ostrzegawczej</w:t>
            </w:r>
          </w:p>
        </w:tc>
        <w:tc>
          <w:tcPr>
            <w:tcW w:w="106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zdarzenie</w:t>
            </w:r>
          </w:p>
        </w:tc>
        <w:tc>
          <w:tcPr>
            <w:tcW w:w="1058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6632B" w:rsidTr="0036632B">
        <w:trPr>
          <w:trHeight w:val="680"/>
        </w:trPr>
        <w:tc>
          <w:tcPr>
            <w:tcW w:w="545" w:type="dxa"/>
            <w:vAlign w:val="center"/>
          </w:tcPr>
          <w:p w:rsidR="006B53E3" w:rsidRPr="0036632B" w:rsidRDefault="006B53E3" w:rsidP="00373DE8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</w:t>
            </w:r>
            <w:r w:rsidR="00373DE8"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3</w:t>
            </w: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6" w:type="dxa"/>
            <w:vAlign w:val="center"/>
          </w:tcPr>
          <w:p w:rsidR="006B53E3" w:rsidRPr="0036632B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Lustro drogowe akrylowe okrągłe</w:t>
            </w:r>
          </w:p>
        </w:tc>
        <w:tc>
          <w:tcPr>
            <w:tcW w:w="106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 mm</w:t>
            </w:r>
          </w:p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800 mm</w:t>
            </w:r>
          </w:p>
        </w:tc>
        <w:tc>
          <w:tcPr>
            <w:tcW w:w="99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6632B" w:rsidTr="0036632B">
        <w:trPr>
          <w:trHeight w:val="680"/>
        </w:trPr>
        <w:tc>
          <w:tcPr>
            <w:tcW w:w="545" w:type="dxa"/>
            <w:vAlign w:val="center"/>
          </w:tcPr>
          <w:p w:rsidR="006B53E3" w:rsidRPr="0036632B" w:rsidRDefault="006B53E3" w:rsidP="00373DE8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</w:t>
            </w:r>
            <w:r w:rsidR="00373DE8"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4</w:t>
            </w: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6" w:type="dxa"/>
            <w:vAlign w:val="center"/>
          </w:tcPr>
          <w:p w:rsidR="006B53E3" w:rsidRPr="0036632B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Pylon U-5b ze znakiem C-9/C-10/C-11 folia II generacji</w:t>
            </w:r>
          </w:p>
        </w:tc>
        <w:tc>
          <w:tcPr>
            <w:tcW w:w="106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400 mm</w:t>
            </w:r>
          </w:p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600mm</w:t>
            </w:r>
          </w:p>
        </w:tc>
        <w:tc>
          <w:tcPr>
            <w:tcW w:w="99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6632B" w:rsidTr="0036632B">
        <w:trPr>
          <w:trHeight w:val="680"/>
        </w:trPr>
        <w:tc>
          <w:tcPr>
            <w:tcW w:w="545" w:type="dxa"/>
            <w:vAlign w:val="center"/>
          </w:tcPr>
          <w:p w:rsidR="006B53E3" w:rsidRPr="0036632B" w:rsidRDefault="006B53E3" w:rsidP="00373DE8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</w:t>
            </w:r>
            <w:r w:rsidR="00373DE8"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5</w:t>
            </w: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6" w:type="dxa"/>
            <w:vAlign w:val="center"/>
          </w:tcPr>
          <w:p w:rsidR="006B53E3" w:rsidRPr="0036632B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Słupek blokujący</w:t>
            </w:r>
          </w:p>
        </w:tc>
        <w:tc>
          <w:tcPr>
            <w:tcW w:w="106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36632B" w:rsidRPr="0036632B" w:rsidTr="0036632B">
        <w:trPr>
          <w:trHeight w:val="680"/>
        </w:trPr>
        <w:tc>
          <w:tcPr>
            <w:tcW w:w="545" w:type="dxa"/>
            <w:vAlign w:val="center"/>
          </w:tcPr>
          <w:p w:rsidR="0036632B" w:rsidRPr="0036632B" w:rsidRDefault="0036632B" w:rsidP="00373DE8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2616" w:type="dxa"/>
            <w:vAlign w:val="center"/>
          </w:tcPr>
          <w:p w:rsidR="0036632B" w:rsidRPr="0036632B" w:rsidRDefault="0036632B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Słupek blokujący kolor</w:t>
            </w:r>
          </w:p>
        </w:tc>
        <w:tc>
          <w:tcPr>
            <w:tcW w:w="1067" w:type="dxa"/>
            <w:vAlign w:val="center"/>
          </w:tcPr>
          <w:p w:rsidR="0036632B" w:rsidRPr="0036632B" w:rsidRDefault="0036632B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36632B" w:rsidRPr="0036632B" w:rsidRDefault="0036632B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36632B" w:rsidRPr="0036632B" w:rsidRDefault="0036632B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36632B" w:rsidRPr="0036632B" w:rsidRDefault="0036632B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36632B" w:rsidRPr="0036632B" w:rsidRDefault="0036632B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6632B" w:rsidTr="0036632B">
        <w:trPr>
          <w:trHeight w:val="680"/>
        </w:trPr>
        <w:tc>
          <w:tcPr>
            <w:tcW w:w="545" w:type="dxa"/>
            <w:vAlign w:val="center"/>
          </w:tcPr>
          <w:p w:rsidR="006B53E3" w:rsidRPr="0036632B" w:rsidRDefault="00373DE8" w:rsidP="0036632B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</w:t>
            </w:r>
            <w:r w:rsidR="0036632B"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7</w:t>
            </w:r>
            <w:r w:rsidR="006B53E3"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6" w:type="dxa"/>
            <w:vAlign w:val="center"/>
          </w:tcPr>
          <w:p w:rsidR="006B53E3" w:rsidRPr="0036632B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Słupek odbojowy</w:t>
            </w:r>
          </w:p>
        </w:tc>
        <w:tc>
          <w:tcPr>
            <w:tcW w:w="106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6632B" w:rsidTr="0036632B">
        <w:trPr>
          <w:trHeight w:val="680"/>
        </w:trPr>
        <w:tc>
          <w:tcPr>
            <w:tcW w:w="545" w:type="dxa"/>
            <w:vAlign w:val="center"/>
          </w:tcPr>
          <w:p w:rsidR="006B53E3" w:rsidRPr="0036632B" w:rsidRDefault="0036632B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lastRenderedPageBreak/>
              <w:t>18</w:t>
            </w:r>
            <w:r w:rsidR="006B53E3"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6" w:type="dxa"/>
            <w:vAlign w:val="center"/>
          </w:tcPr>
          <w:p w:rsidR="006B53E3" w:rsidRPr="0036632B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Bariera odbojowa ochronna </w:t>
            </w:r>
          </w:p>
        </w:tc>
        <w:tc>
          <w:tcPr>
            <w:tcW w:w="106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6B53E3" w:rsidRPr="0036632B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373DE8" w:rsidRPr="0036632B" w:rsidTr="0036632B">
        <w:trPr>
          <w:trHeight w:val="680"/>
        </w:trPr>
        <w:tc>
          <w:tcPr>
            <w:tcW w:w="545" w:type="dxa"/>
            <w:vAlign w:val="center"/>
          </w:tcPr>
          <w:p w:rsidR="00373DE8" w:rsidRPr="0036632B" w:rsidRDefault="0036632B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19</w:t>
            </w:r>
            <w:r w:rsidR="00373DE8"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16" w:type="dxa"/>
            <w:vAlign w:val="center"/>
          </w:tcPr>
          <w:p w:rsidR="00373DE8" w:rsidRPr="0036632B" w:rsidRDefault="00373DE8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Słupek U 1A</w:t>
            </w:r>
          </w:p>
        </w:tc>
        <w:tc>
          <w:tcPr>
            <w:tcW w:w="1067" w:type="dxa"/>
            <w:vAlign w:val="center"/>
          </w:tcPr>
          <w:p w:rsidR="00373DE8" w:rsidRPr="0036632B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według instrukcji</w:t>
            </w:r>
          </w:p>
        </w:tc>
        <w:tc>
          <w:tcPr>
            <w:tcW w:w="997" w:type="dxa"/>
            <w:vAlign w:val="center"/>
          </w:tcPr>
          <w:p w:rsidR="00373DE8" w:rsidRPr="0036632B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6632B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058" w:type="dxa"/>
            <w:vAlign w:val="center"/>
          </w:tcPr>
          <w:p w:rsidR="00373DE8" w:rsidRPr="0036632B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373DE8" w:rsidRPr="0036632B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vAlign w:val="center"/>
          </w:tcPr>
          <w:p w:rsidR="00373DE8" w:rsidRPr="0036632B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</w:tbl>
    <w:p w:rsidR="006B53E3" w:rsidRPr="00277026" w:rsidRDefault="006B53E3" w:rsidP="0036632B">
      <w:pPr>
        <w:numPr>
          <w:ilvl w:val="0"/>
          <w:numId w:val="1"/>
        </w:numPr>
        <w:spacing w:before="240" w:after="160" w:line="259" w:lineRule="auto"/>
        <w:ind w:left="425" w:hanging="357"/>
        <w:jc w:val="both"/>
        <w:rPr>
          <w:rFonts w:ascii="Arial Narrow" w:eastAsiaTheme="minorHAnsi" w:hAnsi="Arial Narrow"/>
          <w:b/>
          <w:w w:val="100"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w w:val="100"/>
          <w:sz w:val="22"/>
          <w:szCs w:val="22"/>
          <w:lang w:eastAsia="en-US"/>
        </w:rPr>
        <w:t>UTRZYMANIE OZNAKOWANIA PIONOWEGO</w:t>
      </w:r>
    </w:p>
    <w:tbl>
      <w:tblPr>
        <w:tblStyle w:val="Tabela-Siatka"/>
        <w:tblW w:w="9109" w:type="dxa"/>
        <w:tblLook w:val="04A0" w:firstRow="1" w:lastRow="0" w:firstColumn="1" w:lastColumn="0" w:noHBand="0" w:noVBand="1"/>
      </w:tblPr>
      <w:tblGrid>
        <w:gridCol w:w="564"/>
        <w:gridCol w:w="4311"/>
        <w:gridCol w:w="1134"/>
        <w:gridCol w:w="850"/>
        <w:gridCol w:w="988"/>
        <w:gridCol w:w="1262"/>
      </w:tblGrid>
      <w:tr w:rsidR="006B53E3" w:rsidRPr="00373DE8" w:rsidTr="0036632B">
        <w:trPr>
          <w:trHeight w:val="567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Wykonywane prace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Cena netto</w:t>
            </w: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VAT …… %</w:t>
            </w: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Cena brutto</w:t>
            </w:r>
          </w:p>
        </w:tc>
      </w:tr>
      <w:tr w:rsidR="006B53E3" w:rsidRPr="00373DE8" w:rsidTr="0036632B">
        <w:trPr>
          <w:trHeight w:val="567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</w:t>
            </w:r>
            <w:r w:rsidR="00373DE8"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Regeneracja słupka nośnego (cięcie, spawanie itp.)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6632B">
        <w:trPr>
          <w:trHeight w:val="567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2</w:t>
            </w:r>
            <w:r w:rsidR="00373DE8"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Malowanie słupka nośnego farbą podkładową i emulsyjną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6632B">
        <w:trPr>
          <w:trHeight w:val="567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3</w:t>
            </w:r>
            <w:r w:rsidR="00373DE8"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Ustawienie słupka nośnego z zalaniem zaprawą cementową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6632B">
        <w:trPr>
          <w:trHeight w:val="567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4</w:t>
            </w:r>
            <w:r w:rsidR="00373DE8"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Demontaż słupka nośnego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6632B">
        <w:trPr>
          <w:trHeight w:val="567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5</w:t>
            </w:r>
            <w:r w:rsidR="00373DE8"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Montaż lub demontaż znaku drogowego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6632B">
        <w:trPr>
          <w:trHeight w:val="567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6</w:t>
            </w:r>
            <w:r w:rsidR="00373DE8"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Ustawienie lub usunięcie słupków prowadzących (pachołków), zapór drogowych lub taśmy ostrzegawczej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zdarzenie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6632B">
        <w:trPr>
          <w:trHeight w:val="567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Czyszczenie tarcz znaków i luster drogowych z wszelkiego rodzaju brudu, napisów, rysunków, naklejek itp.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6632B">
        <w:trPr>
          <w:trHeight w:val="567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Prostowanie, obracanie i dokręcanie tarcz znaków i luster opuszczonych lub poodwracanych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6632B">
        <w:trPr>
          <w:trHeight w:val="567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Korygowanie ustawienia pionowego słupków znaków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6632B">
        <w:trPr>
          <w:trHeight w:val="567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Demontaż słupka blokującego, słupka odbojowego i bariery odbojowej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6632B">
        <w:trPr>
          <w:trHeight w:val="567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Montaż słupka blokującego, słupka odbojowego i bariery odbojowej </w:t>
            </w: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373DE8" w:rsidRPr="00373DE8" w:rsidTr="0036632B">
        <w:trPr>
          <w:trHeight w:val="567"/>
        </w:trPr>
        <w:tc>
          <w:tcPr>
            <w:tcW w:w="564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4311" w:type="dxa"/>
            <w:vAlign w:val="center"/>
          </w:tcPr>
          <w:p w:rsidR="00373DE8" w:rsidRPr="00373DE8" w:rsidRDefault="00373DE8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Demontaż słupka U 1A</w:t>
            </w:r>
          </w:p>
        </w:tc>
        <w:tc>
          <w:tcPr>
            <w:tcW w:w="1134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373DE8" w:rsidRPr="00373DE8" w:rsidTr="0036632B">
        <w:trPr>
          <w:trHeight w:val="567"/>
        </w:trPr>
        <w:tc>
          <w:tcPr>
            <w:tcW w:w="564" w:type="dxa"/>
            <w:vAlign w:val="center"/>
          </w:tcPr>
          <w:p w:rsid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4311" w:type="dxa"/>
            <w:vAlign w:val="center"/>
          </w:tcPr>
          <w:p w:rsidR="00373DE8" w:rsidRDefault="00373DE8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Montaż słupka U 1A</w:t>
            </w:r>
          </w:p>
        </w:tc>
        <w:tc>
          <w:tcPr>
            <w:tcW w:w="1134" w:type="dxa"/>
            <w:vAlign w:val="center"/>
          </w:tcPr>
          <w:p w:rsid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850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373DE8" w:rsidRPr="00373DE8" w:rsidRDefault="00373DE8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  <w:tr w:rsidR="006B53E3" w:rsidRPr="00373DE8" w:rsidTr="0036632B">
        <w:trPr>
          <w:trHeight w:val="567"/>
        </w:trPr>
        <w:tc>
          <w:tcPr>
            <w:tcW w:w="56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4311" w:type="dxa"/>
            <w:vAlign w:val="center"/>
          </w:tcPr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 xml:space="preserve">Objazd kontrolny oznakowania pionowego na terenie miasta i gminy oraz sporządzenie protokołu z objazdu, wg wskazania Zamawiającego przez okres związania z umową. </w:t>
            </w:r>
          </w:p>
          <w:p w:rsidR="006B53E3" w:rsidRPr="00373DE8" w:rsidRDefault="006B53E3" w:rsidP="004D4CFD">
            <w:pPr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  <w:r w:rsidRPr="00373DE8"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  <w:t>1 objazd</w:t>
            </w:r>
          </w:p>
        </w:tc>
        <w:tc>
          <w:tcPr>
            <w:tcW w:w="850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988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62" w:type="dxa"/>
            <w:vAlign w:val="center"/>
          </w:tcPr>
          <w:p w:rsidR="006B53E3" w:rsidRPr="00373DE8" w:rsidRDefault="006B53E3" w:rsidP="004D4CFD">
            <w:pPr>
              <w:jc w:val="center"/>
              <w:rPr>
                <w:rFonts w:ascii="Arial Narrow" w:eastAsiaTheme="minorHAnsi" w:hAnsi="Arial Narrow"/>
                <w:w w:val="100"/>
                <w:sz w:val="18"/>
                <w:szCs w:val="18"/>
                <w:lang w:eastAsia="en-US"/>
              </w:rPr>
            </w:pPr>
          </w:p>
        </w:tc>
      </w:tr>
    </w:tbl>
    <w:p w:rsidR="006B53E3" w:rsidRPr="00277026" w:rsidRDefault="006B53E3" w:rsidP="0036632B">
      <w:pPr>
        <w:pStyle w:val="Akapitzlist"/>
        <w:numPr>
          <w:ilvl w:val="0"/>
          <w:numId w:val="2"/>
        </w:numPr>
        <w:spacing w:before="240" w:after="120"/>
        <w:ind w:left="714" w:hanging="357"/>
        <w:contextualSpacing w:val="0"/>
        <w:jc w:val="both"/>
        <w:rPr>
          <w:rFonts w:ascii="Arial Narrow" w:eastAsiaTheme="minorHAnsi" w:hAnsi="Arial Narrow" w:cstheme="minorBidi"/>
          <w:b/>
          <w:w w:val="100"/>
          <w:sz w:val="22"/>
          <w:szCs w:val="22"/>
          <w:lang w:eastAsia="en-US"/>
        </w:rPr>
      </w:pPr>
      <w:r w:rsidRPr="00277026">
        <w:rPr>
          <w:rFonts w:ascii="Arial Narrow" w:eastAsiaTheme="minorHAnsi" w:hAnsi="Arial Narrow" w:cstheme="minorBidi"/>
          <w:b/>
          <w:w w:val="100"/>
          <w:sz w:val="22"/>
          <w:szCs w:val="22"/>
          <w:lang w:eastAsia="en-US"/>
        </w:rPr>
        <w:t>UTRZYMANIE OZNAKOWANIA P</w:t>
      </w:r>
      <w:r>
        <w:rPr>
          <w:rFonts w:ascii="Arial Narrow" w:eastAsiaTheme="minorHAnsi" w:hAnsi="Arial Narrow" w:cstheme="minorBidi"/>
          <w:b/>
          <w:w w:val="100"/>
          <w:sz w:val="22"/>
          <w:szCs w:val="22"/>
          <w:lang w:eastAsia="en-US"/>
        </w:rPr>
        <w:t>OZIOMEGO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134"/>
        <w:gridCol w:w="992"/>
        <w:gridCol w:w="992"/>
        <w:gridCol w:w="1129"/>
      </w:tblGrid>
      <w:tr w:rsidR="006B53E3" w:rsidTr="004D4CFD">
        <w:tc>
          <w:tcPr>
            <w:tcW w:w="56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Lp.</w:t>
            </w:r>
          </w:p>
        </w:tc>
        <w:tc>
          <w:tcPr>
            <w:tcW w:w="4253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Nazwa usługi</w:t>
            </w:r>
          </w:p>
        </w:tc>
        <w:tc>
          <w:tcPr>
            <w:tcW w:w="1134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Cena netto</w:t>
            </w:r>
          </w:p>
        </w:tc>
        <w:tc>
          <w:tcPr>
            <w:tcW w:w="99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Vat ……..%</w:t>
            </w:r>
          </w:p>
        </w:tc>
        <w:tc>
          <w:tcPr>
            <w:tcW w:w="1129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Cena brutto</w:t>
            </w:r>
          </w:p>
        </w:tc>
      </w:tr>
      <w:tr w:rsidR="006B53E3" w:rsidTr="004D4CFD">
        <w:tc>
          <w:tcPr>
            <w:tcW w:w="56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1.</w:t>
            </w:r>
          </w:p>
        </w:tc>
        <w:tc>
          <w:tcPr>
            <w:tcW w:w="4253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 xml:space="preserve">Malowanie farbą </w:t>
            </w: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drogową (biała i kolorowa)</w:t>
            </w:r>
          </w:p>
        </w:tc>
        <w:tc>
          <w:tcPr>
            <w:tcW w:w="1134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</w:t>
            </w:r>
            <w:r w:rsidRPr="006717FA">
              <w:rPr>
                <w:rFonts w:ascii="Arial Narrow" w:eastAsiaTheme="minorHAnsi" w:hAnsi="Arial Narrow" w:cstheme="minorBidi"/>
                <w:w w:val="1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6B53E3" w:rsidTr="004D4CFD">
        <w:tc>
          <w:tcPr>
            <w:tcW w:w="56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2.</w:t>
            </w:r>
          </w:p>
        </w:tc>
        <w:tc>
          <w:tcPr>
            <w:tcW w:w="4253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Usunięcie istniejącego oznakowania poziomego</w:t>
            </w:r>
          </w:p>
        </w:tc>
        <w:tc>
          <w:tcPr>
            <w:tcW w:w="1134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</w:t>
            </w:r>
            <w:r w:rsidRPr="006717FA">
              <w:rPr>
                <w:rFonts w:ascii="Arial Narrow" w:eastAsiaTheme="minorHAnsi" w:hAnsi="Arial Narrow" w:cstheme="minorBidi"/>
                <w:w w:val="1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6B53E3" w:rsidTr="004D4CFD">
        <w:tc>
          <w:tcPr>
            <w:tcW w:w="56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3.</w:t>
            </w:r>
          </w:p>
        </w:tc>
        <w:tc>
          <w:tcPr>
            <w:tcW w:w="4253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Próg zwalniający</w:t>
            </w:r>
          </w:p>
        </w:tc>
        <w:tc>
          <w:tcPr>
            <w:tcW w:w="1134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proofErr w:type="spellStart"/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6B53E3" w:rsidRPr="006717FA" w:rsidRDefault="006B53E3" w:rsidP="004D4CFD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373DE8" w:rsidTr="004D4CFD">
        <w:tc>
          <w:tcPr>
            <w:tcW w:w="562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4.</w:t>
            </w:r>
          </w:p>
        </w:tc>
        <w:tc>
          <w:tcPr>
            <w:tcW w:w="4253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Demontaż progu</w:t>
            </w:r>
          </w:p>
        </w:tc>
        <w:tc>
          <w:tcPr>
            <w:tcW w:w="1134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proofErr w:type="spellStart"/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373DE8" w:rsidTr="004D4CFD">
        <w:tc>
          <w:tcPr>
            <w:tcW w:w="562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4253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Montaż progu</w:t>
            </w:r>
          </w:p>
        </w:tc>
        <w:tc>
          <w:tcPr>
            <w:tcW w:w="1134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proofErr w:type="spellStart"/>
            <w:r w:rsidRPr="006717FA"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373DE8" w:rsidRPr="006717FA" w:rsidRDefault="00373DE8" w:rsidP="00373DE8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D1687E" w:rsidTr="004D4CFD">
        <w:tc>
          <w:tcPr>
            <w:tcW w:w="562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6.</w:t>
            </w:r>
          </w:p>
        </w:tc>
        <w:tc>
          <w:tcPr>
            <w:tcW w:w="4253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Próg wyspowy</w:t>
            </w:r>
          </w:p>
        </w:tc>
        <w:tc>
          <w:tcPr>
            <w:tcW w:w="1134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</w:t>
            </w:r>
            <w:r w:rsidRPr="00B8165D">
              <w:rPr>
                <w:rFonts w:ascii="Arial Narrow" w:eastAsiaTheme="minorHAnsi" w:hAnsi="Arial Narrow" w:cstheme="minorBidi"/>
                <w:w w:val="1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D1687E" w:rsidTr="004D4CFD">
        <w:tc>
          <w:tcPr>
            <w:tcW w:w="562" w:type="dxa"/>
            <w:vAlign w:val="center"/>
          </w:tcPr>
          <w:p w:rsidR="00D1687E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7.</w:t>
            </w:r>
          </w:p>
        </w:tc>
        <w:tc>
          <w:tcPr>
            <w:tcW w:w="4253" w:type="dxa"/>
            <w:vAlign w:val="center"/>
          </w:tcPr>
          <w:p w:rsidR="00D1687E" w:rsidRPr="006717FA" w:rsidRDefault="0086657A" w:rsidP="00D1687E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Demontaż progu wyspowego</w:t>
            </w:r>
          </w:p>
        </w:tc>
        <w:tc>
          <w:tcPr>
            <w:tcW w:w="1134" w:type="dxa"/>
            <w:vAlign w:val="center"/>
          </w:tcPr>
          <w:p w:rsidR="00D1687E" w:rsidRPr="006717FA" w:rsidRDefault="0086657A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</w:t>
            </w:r>
            <w:r w:rsidRPr="00B8165D">
              <w:rPr>
                <w:rFonts w:ascii="Arial Narrow" w:eastAsiaTheme="minorHAnsi" w:hAnsi="Arial Narrow" w:cstheme="minorBidi"/>
                <w:w w:val="1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  <w:tr w:rsidR="00D1687E" w:rsidTr="004D4CFD">
        <w:tc>
          <w:tcPr>
            <w:tcW w:w="562" w:type="dxa"/>
            <w:vAlign w:val="center"/>
          </w:tcPr>
          <w:p w:rsidR="00D1687E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8.</w:t>
            </w:r>
          </w:p>
        </w:tc>
        <w:tc>
          <w:tcPr>
            <w:tcW w:w="4253" w:type="dxa"/>
            <w:vAlign w:val="center"/>
          </w:tcPr>
          <w:p w:rsidR="00D1687E" w:rsidRPr="006717FA" w:rsidRDefault="0086657A" w:rsidP="00D1687E">
            <w:pPr>
              <w:spacing w:after="160" w:line="259" w:lineRule="auto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Montaż progu wyspowego</w:t>
            </w:r>
          </w:p>
        </w:tc>
        <w:tc>
          <w:tcPr>
            <w:tcW w:w="1134" w:type="dxa"/>
            <w:vAlign w:val="center"/>
          </w:tcPr>
          <w:p w:rsidR="00D1687E" w:rsidRPr="006717FA" w:rsidRDefault="0086657A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  <w:r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  <w:t>m</w:t>
            </w:r>
            <w:r w:rsidRPr="00B8165D">
              <w:rPr>
                <w:rFonts w:ascii="Arial Narrow" w:eastAsiaTheme="minorHAnsi" w:hAnsi="Arial Narrow" w:cstheme="minorBidi"/>
                <w:w w:val="1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  <w:tc>
          <w:tcPr>
            <w:tcW w:w="1129" w:type="dxa"/>
            <w:vAlign w:val="center"/>
          </w:tcPr>
          <w:p w:rsidR="00D1687E" w:rsidRPr="006717FA" w:rsidRDefault="00D1687E" w:rsidP="00D1687E">
            <w:pPr>
              <w:spacing w:after="160" w:line="259" w:lineRule="auto"/>
              <w:jc w:val="center"/>
              <w:rPr>
                <w:rFonts w:ascii="Arial Narrow" w:eastAsiaTheme="minorHAnsi" w:hAnsi="Arial Narrow" w:cstheme="minorBidi"/>
                <w:w w:val="100"/>
                <w:sz w:val="20"/>
                <w:lang w:eastAsia="en-US"/>
              </w:rPr>
            </w:pPr>
          </w:p>
        </w:tc>
      </w:tr>
    </w:tbl>
    <w:p w:rsidR="006B53E3" w:rsidRDefault="006B53E3" w:rsidP="006B53E3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</w:p>
    <w:p w:rsidR="0086657A" w:rsidRDefault="0086657A" w:rsidP="006B53E3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</w:p>
    <w:p w:rsidR="0086657A" w:rsidRDefault="0086657A" w:rsidP="006B53E3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</w:p>
    <w:p w:rsidR="0086657A" w:rsidRDefault="0086657A" w:rsidP="006B53E3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</w:p>
    <w:p w:rsidR="0086657A" w:rsidRDefault="0086657A" w:rsidP="006B53E3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</w:p>
    <w:p w:rsidR="0086657A" w:rsidRDefault="0086657A" w:rsidP="006B53E3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  <w:bookmarkStart w:id="0" w:name="_GoBack"/>
      <w:bookmarkEnd w:id="0"/>
    </w:p>
    <w:p w:rsidR="0086657A" w:rsidRPr="00277026" w:rsidRDefault="0086657A" w:rsidP="006B53E3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single"/>
          <w:lang w:eastAsia="en-US"/>
        </w:rPr>
      </w:pPr>
    </w:p>
    <w:p w:rsidR="006B53E3" w:rsidRPr="00277026" w:rsidRDefault="006B53E3" w:rsidP="006B53E3">
      <w:pPr>
        <w:spacing w:line="360" w:lineRule="auto"/>
        <w:rPr>
          <w:rFonts w:ascii="Arial Narrow" w:eastAsiaTheme="minorHAnsi" w:hAnsi="Arial Narrow"/>
          <w:w w:val="100"/>
          <w:sz w:val="22"/>
          <w:szCs w:val="22"/>
          <w:u w:val="dottedHeavy"/>
          <w:lang w:eastAsia="en-US"/>
        </w:rPr>
      </w:pP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  <w:t>ZAMAWIAJĄCY</w:t>
      </w: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</w:r>
      <w:r w:rsidRPr="00277026">
        <w:rPr>
          <w:rFonts w:ascii="Arial Narrow" w:eastAsiaTheme="minorHAnsi" w:hAnsi="Arial Narrow"/>
          <w:w w:val="100"/>
          <w:sz w:val="22"/>
          <w:szCs w:val="22"/>
          <w:lang w:eastAsia="en-US"/>
        </w:rPr>
        <w:tab/>
        <w:t>WYKONAWCA</w:t>
      </w:r>
    </w:p>
    <w:p w:rsidR="00F303FF" w:rsidRDefault="00F303FF"/>
    <w:sectPr w:rsidR="00F3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72225"/>
    <w:multiLevelType w:val="hybridMultilevel"/>
    <w:tmpl w:val="E12CD362"/>
    <w:lvl w:ilvl="0" w:tplc="FA9E3E0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D4FE9"/>
    <w:multiLevelType w:val="hybridMultilevel"/>
    <w:tmpl w:val="41468BF6"/>
    <w:lvl w:ilvl="0" w:tplc="DCE029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E3"/>
    <w:rsid w:val="0036632B"/>
    <w:rsid w:val="00373DE8"/>
    <w:rsid w:val="006B53E3"/>
    <w:rsid w:val="0086657A"/>
    <w:rsid w:val="00D1687E"/>
    <w:rsid w:val="00F3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793CC-9106-4592-8964-840A3E55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3E3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3E3"/>
    <w:pPr>
      <w:ind w:left="720"/>
      <w:contextualSpacing/>
    </w:pPr>
  </w:style>
  <w:style w:type="table" w:styleId="Tabela-Siatka">
    <w:name w:val="Table Grid"/>
    <w:basedOn w:val="Standardowy"/>
    <w:uiPriority w:val="39"/>
    <w:rsid w:val="006B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2</cp:revision>
  <dcterms:created xsi:type="dcterms:W3CDTF">2022-01-21T10:24:00Z</dcterms:created>
  <dcterms:modified xsi:type="dcterms:W3CDTF">2022-01-21T10:24:00Z</dcterms:modified>
</cp:coreProperties>
</file>